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D6930" w14:textId="77777777" w:rsidR="00EC0421" w:rsidRPr="00730E76" w:rsidRDefault="00EC0421" w:rsidP="00730E76">
      <w:pPr>
        <w:spacing w:line="280" w:lineRule="exact"/>
        <w:rPr>
          <w:rFonts w:ascii="Arial" w:hAnsi="Arial" w:cs="Arial"/>
          <w:b/>
          <w:szCs w:val="20"/>
        </w:rPr>
      </w:pPr>
    </w:p>
    <w:p w14:paraId="44E90185" w14:textId="77777777" w:rsidR="00EC0421" w:rsidRPr="00730E76" w:rsidRDefault="00EC0421" w:rsidP="00730E76">
      <w:pPr>
        <w:spacing w:line="280" w:lineRule="exact"/>
        <w:rPr>
          <w:rFonts w:ascii="Arial" w:hAnsi="Arial" w:cs="Arial"/>
          <w:b/>
          <w:szCs w:val="20"/>
        </w:rPr>
      </w:pPr>
    </w:p>
    <w:p w14:paraId="39EC362A" w14:textId="77777777" w:rsidR="00EC0421" w:rsidRPr="00730E76" w:rsidRDefault="00EC0421" w:rsidP="00730E76">
      <w:pPr>
        <w:widowControl/>
        <w:spacing w:line="276" w:lineRule="auto"/>
        <w:rPr>
          <w:rFonts w:ascii="Arial" w:hAnsi="Arial" w:cs="Arial"/>
          <w:b/>
        </w:rPr>
      </w:pPr>
    </w:p>
    <w:p w14:paraId="05F19A02" w14:textId="405338A0" w:rsidR="0003115C" w:rsidRPr="00730E76" w:rsidRDefault="0003115C" w:rsidP="00730E76">
      <w:pPr>
        <w:spacing w:line="276" w:lineRule="auto"/>
        <w:rPr>
          <w:rFonts w:ascii="Arial" w:hAnsi="Arial" w:cs="Arial"/>
          <w:b/>
        </w:rPr>
      </w:pPr>
      <w:r w:rsidRPr="00730E76">
        <w:rPr>
          <w:rFonts w:ascii="Arial" w:hAnsi="Arial" w:cs="Arial"/>
          <w:b/>
        </w:rPr>
        <w:t>PROCEDURA APERTA PER L’AFFIDAMENTO DI UN ACCORDO QUADRO AVENTE AD OGGETTO SERVIZI APPLICATIVI IN OTTICA CLOUD PER LE PUBBLICHE AMMINISTRAZIONI CENTRALI - ID 2860</w:t>
      </w:r>
    </w:p>
    <w:p w14:paraId="7187F61A" w14:textId="16F969C6" w:rsidR="00EC0421" w:rsidRPr="00730E76" w:rsidRDefault="00EC0421" w:rsidP="00730E76">
      <w:pPr>
        <w:widowControl/>
        <w:spacing w:line="276" w:lineRule="auto"/>
        <w:rPr>
          <w:rFonts w:ascii="Arial" w:hAnsi="Arial" w:cs="Arial"/>
          <w:b/>
        </w:rPr>
      </w:pPr>
    </w:p>
    <w:p w14:paraId="00EDE0E9" w14:textId="77777777" w:rsidR="00802C83" w:rsidRPr="00730E76" w:rsidRDefault="00802C83" w:rsidP="00730E76">
      <w:pPr>
        <w:widowControl/>
        <w:spacing w:line="276" w:lineRule="auto"/>
        <w:rPr>
          <w:rFonts w:ascii="Arial" w:hAnsi="Arial" w:cs="Arial"/>
          <w:b/>
        </w:rPr>
      </w:pPr>
    </w:p>
    <w:p w14:paraId="7ED07E0E" w14:textId="63F5800A" w:rsidR="00EC0421" w:rsidRPr="00730E76" w:rsidRDefault="00614942" w:rsidP="00730E76">
      <w:pPr>
        <w:widowControl/>
        <w:spacing w:line="276" w:lineRule="auto"/>
        <w:rPr>
          <w:rFonts w:ascii="Arial" w:hAnsi="Arial" w:cs="Arial"/>
          <w:b/>
        </w:rPr>
      </w:pPr>
      <w:r w:rsidRPr="00730E76">
        <w:rPr>
          <w:rFonts w:ascii="Arial" w:hAnsi="Arial" w:cs="Arial"/>
          <w:b/>
        </w:rPr>
        <w:t xml:space="preserve">ALLEGATO </w:t>
      </w:r>
      <w:r w:rsidR="00785833" w:rsidRPr="00730E76">
        <w:rPr>
          <w:rFonts w:ascii="Arial" w:hAnsi="Arial" w:cs="Arial"/>
          <w:b/>
        </w:rPr>
        <w:t>N.</w:t>
      </w:r>
      <w:r w:rsidR="003405E0" w:rsidRPr="00730E76">
        <w:rPr>
          <w:rFonts w:ascii="Arial" w:hAnsi="Arial" w:cs="Arial"/>
          <w:b/>
        </w:rPr>
        <w:t>14</w:t>
      </w:r>
    </w:p>
    <w:p w14:paraId="4792D6D4" w14:textId="5A974B66" w:rsidR="00052674" w:rsidRPr="00730E76" w:rsidRDefault="00614942" w:rsidP="00730E76">
      <w:pPr>
        <w:widowControl/>
        <w:spacing w:line="276" w:lineRule="auto"/>
        <w:rPr>
          <w:rFonts w:ascii="Arial" w:hAnsi="Arial" w:cs="Arial"/>
          <w:b/>
        </w:rPr>
      </w:pPr>
      <w:r w:rsidRPr="00730E76">
        <w:rPr>
          <w:rFonts w:ascii="Arial" w:hAnsi="Arial" w:cs="Arial"/>
          <w:b/>
        </w:rPr>
        <w:t xml:space="preserve">CONDIZIONI DI ASSICURAZIONE </w:t>
      </w:r>
    </w:p>
    <w:p w14:paraId="2B202CF1" w14:textId="77777777" w:rsidR="00EC0421" w:rsidRPr="00730E76" w:rsidRDefault="00EC0421" w:rsidP="00730E76">
      <w:pPr>
        <w:widowControl/>
        <w:spacing w:line="276" w:lineRule="auto"/>
        <w:rPr>
          <w:rFonts w:ascii="Arial" w:hAnsi="Arial" w:cs="Arial"/>
          <w:b/>
        </w:rPr>
      </w:pPr>
    </w:p>
    <w:p w14:paraId="0C68F1D2" w14:textId="77777777" w:rsidR="00EC0421" w:rsidRPr="00730E76" w:rsidRDefault="00EC0421" w:rsidP="00730E76">
      <w:pPr>
        <w:widowControl/>
        <w:spacing w:line="276" w:lineRule="auto"/>
        <w:rPr>
          <w:rFonts w:ascii="Arial" w:hAnsi="Arial" w:cs="Arial"/>
          <w:b/>
        </w:rPr>
      </w:pPr>
    </w:p>
    <w:p w14:paraId="3111B7B8" w14:textId="2FED6F1C" w:rsidR="00EC0421" w:rsidRPr="00730E76" w:rsidRDefault="00614942" w:rsidP="00730E76">
      <w:pPr>
        <w:widowControl/>
        <w:spacing w:line="276" w:lineRule="auto"/>
        <w:rPr>
          <w:rFonts w:ascii="Arial" w:hAnsi="Arial" w:cs="Arial"/>
          <w:b/>
        </w:rPr>
      </w:pPr>
      <w:r w:rsidRPr="00730E76">
        <w:rPr>
          <w:rFonts w:ascii="Arial" w:hAnsi="Arial" w:cs="Arial"/>
          <w:b/>
        </w:rPr>
        <w:t xml:space="preserve">CLASSIFICAZIONE </w:t>
      </w:r>
      <w:r w:rsidR="00EC0421" w:rsidRPr="00730E76">
        <w:rPr>
          <w:rFonts w:ascii="Arial" w:hAnsi="Arial" w:cs="Arial"/>
          <w:b/>
        </w:rPr>
        <w:t>CONSIP</w:t>
      </w:r>
      <w:r w:rsidR="00640C46" w:rsidRPr="00730E76">
        <w:rPr>
          <w:rFonts w:ascii="Arial" w:hAnsi="Arial" w:cs="Arial"/>
          <w:b/>
        </w:rPr>
        <w:t>:</w:t>
      </w:r>
      <w:r w:rsidR="00EC0421" w:rsidRPr="00730E76">
        <w:rPr>
          <w:rFonts w:ascii="Arial" w:hAnsi="Arial" w:cs="Arial"/>
          <w:b/>
        </w:rPr>
        <w:t xml:space="preserve"> </w:t>
      </w:r>
      <w:r w:rsidR="00730E76" w:rsidRPr="00730E76">
        <w:rPr>
          <w:rFonts w:ascii="Arial" w:hAnsi="Arial" w:cs="Arial"/>
          <w:b/>
        </w:rPr>
        <w:t>AMBITO PUBBLICO</w:t>
      </w:r>
    </w:p>
    <w:p w14:paraId="27496E37" w14:textId="70F1A47B" w:rsidR="007F0195" w:rsidRPr="00730E76" w:rsidRDefault="007F0195" w:rsidP="00730E76">
      <w:pPr>
        <w:rPr>
          <w:rFonts w:ascii="Arial" w:hAnsi="Arial" w:cs="Arial"/>
          <w:szCs w:val="20"/>
        </w:rPr>
      </w:pPr>
    </w:p>
    <w:p w14:paraId="5E0F3B53" w14:textId="77777777" w:rsidR="007F0195" w:rsidRPr="00730E76" w:rsidRDefault="007F0195" w:rsidP="00730E76">
      <w:pPr>
        <w:rPr>
          <w:rFonts w:ascii="Arial" w:hAnsi="Arial" w:cs="Arial"/>
        </w:rPr>
      </w:pPr>
    </w:p>
    <w:p w14:paraId="0963C1E9" w14:textId="77777777" w:rsidR="007F0195" w:rsidRPr="00730E76" w:rsidRDefault="007F0195" w:rsidP="00730E76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7680FDF5" w14:textId="5FB911C3" w:rsidR="007F0195" w:rsidRPr="00730E76" w:rsidRDefault="007F0195" w:rsidP="00730E76">
      <w:pPr>
        <w:rPr>
          <w:rStyle w:val="BLOCKBOLD"/>
          <w:rFonts w:ascii="Arial" w:hAnsi="Arial" w:cs="Arial"/>
          <w:u w:val="single"/>
        </w:rPr>
      </w:pPr>
      <w:r w:rsidRPr="00730E76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</w:p>
    <w:p w14:paraId="2BB5359B" w14:textId="77777777" w:rsidR="00052674" w:rsidRPr="00730E76" w:rsidRDefault="00052674" w:rsidP="00730E76">
      <w:pPr>
        <w:pStyle w:val="Defaul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30E76">
        <w:rPr>
          <w:rFonts w:ascii="Arial" w:hAnsi="Arial" w:cs="Arial"/>
          <w:b/>
          <w:bCs/>
          <w:sz w:val="20"/>
          <w:szCs w:val="20"/>
        </w:rPr>
        <w:lastRenderedPageBreak/>
        <w:t>CERTIFICATO DI ASSICURAZIONE</w:t>
      </w:r>
    </w:p>
    <w:p w14:paraId="61D64EED" w14:textId="77777777" w:rsidR="00052674" w:rsidRPr="00730E76" w:rsidRDefault="00052674" w:rsidP="00730E76">
      <w:pPr>
        <w:widowControl/>
        <w:rPr>
          <w:rFonts w:ascii="Arial" w:hAnsi="Arial" w:cs="Arial"/>
          <w:color w:val="000000"/>
          <w:kern w:val="0"/>
          <w:szCs w:val="20"/>
        </w:rPr>
      </w:pPr>
    </w:p>
    <w:p w14:paraId="759ECF35" w14:textId="77777777" w:rsidR="00052674" w:rsidRPr="00730E76" w:rsidRDefault="00052674" w:rsidP="00730E76">
      <w:pPr>
        <w:widowControl/>
        <w:rPr>
          <w:rFonts w:ascii="Arial" w:hAnsi="Arial" w:cs="Arial"/>
          <w:i/>
          <w:color w:val="3333FF"/>
          <w:kern w:val="0"/>
          <w:szCs w:val="20"/>
        </w:rPr>
      </w:pPr>
      <w:r w:rsidRPr="00730E76">
        <w:rPr>
          <w:rFonts w:ascii="Arial" w:hAnsi="Arial" w:cs="Arial"/>
          <w:color w:val="000000"/>
          <w:kern w:val="0"/>
          <w:szCs w:val="20"/>
        </w:rPr>
        <w:t xml:space="preserve">Il presente certificato è emesso in riferimento alle seguenti Polizze di Assicurazione: </w:t>
      </w:r>
    </w:p>
    <w:p w14:paraId="688020C8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1410" w:hanging="69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X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ab/>
        <w:t>Polizza Responsabilità Civile verso terzi e dipendenti n. ____________ Compagnia_________</w:t>
      </w:r>
    </w:p>
    <w:p w14:paraId="167694AA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X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ab/>
        <w:t>Polizza Responsabilità Civile Professionale n. ____________ Compagnia_________</w:t>
      </w:r>
    </w:p>
    <w:p w14:paraId="5E3208D6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ab/>
      </w:r>
    </w:p>
    <w:p w14:paraId="4089D3BB" w14:textId="40FF23CD" w:rsidR="00052674" w:rsidRPr="00730E76" w:rsidRDefault="00827BF3" w:rsidP="00730E76">
      <w:pPr>
        <w:widowControl/>
        <w:rPr>
          <w:rFonts w:ascii="Arial" w:hAnsi="Arial" w:cs="Arial"/>
          <w:color w:val="000000"/>
          <w:kern w:val="0"/>
          <w:szCs w:val="20"/>
        </w:rPr>
      </w:pPr>
      <w:r w:rsidRPr="00730E76">
        <w:rPr>
          <w:rFonts w:ascii="Arial" w:hAnsi="Arial" w:cs="Arial"/>
          <w:color w:val="000000"/>
          <w:kern w:val="0"/>
          <w:szCs w:val="20"/>
        </w:rPr>
        <w:t>afferent</w:t>
      </w:r>
      <w:r w:rsidR="002A48EB" w:rsidRPr="00730E76">
        <w:rPr>
          <w:rFonts w:ascii="Arial" w:hAnsi="Arial" w:cs="Arial"/>
          <w:color w:val="000000"/>
          <w:kern w:val="0"/>
          <w:szCs w:val="20"/>
        </w:rPr>
        <w:t xml:space="preserve">i </w:t>
      </w:r>
      <w:r w:rsidR="00802C83" w:rsidRPr="00730E76">
        <w:rPr>
          <w:rFonts w:ascii="Arial" w:hAnsi="Arial" w:cs="Arial"/>
          <w:color w:val="000000"/>
          <w:kern w:val="0"/>
          <w:szCs w:val="20"/>
        </w:rPr>
        <w:t>la</w:t>
      </w:r>
      <w:r w:rsidR="00275985" w:rsidRPr="00730E76">
        <w:rPr>
          <w:rFonts w:ascii="Arial" w:hAnsi="Arial" w:cs="Arial"/>
          <w:color w:val="000000"/>
          <w:kern w:val="0"/>
          <w:szCs w:val="20"/>
        </w:rPr>
        <w:t>,</w:t>
      </w:r>
      <w:r w:rsidR="00052674" w:rsidRPr="00730E76">
        <w:rPr>
          <w:rFonts w:ascii="Arial" w:hAnsi="Arial" w:cs="Arial"/>
          <w:color w:val="000000"/>
          <w:kern w:val="0"/>
          <w:szCs w:val="20"/>
        </w:rPr>
        <w:t xml:space="preserve"> </w:t>
      </w:r>
      <w:r w:rsidR="00802C83" w:rsidRPr="00730E76">
        <w:rPr>
          <w:rFonts w:ascii="Arial" w:hAnsi="Arial" w:cs="Arial"/>
          <w:color w:val="000000"/>
          <w:kern w:val="0"/>
          <w:szCs w:val="20"/>
        </w:rPr>
        <w:t xml:space="preserve">Gara a procedura aperta ai sensi del D.Lgs. 36/2023 e s.m.i., per l’affidamento di </w:t>
      </w:r>
      <w:r w:rsidR="00540EF6" w:rsidRPr="00730E76">
        <w:rPr>
          <w:rFonts w:ascii="Arial" w:hAnsi="Arial" w:cs="Arial"/>
          <w:color w:val="000000"/>
          <w:kern w:val="0"/>
          <w:szCs w:val="20"/>
        </w:rPr>
        <w:t xml:space="preserve">un </w:t>
      </w:r>
      <w:r w:rsidR="00802C83" w:rsidRPr="00730E76">
        <w:rPr>
          <w:rFonts w:ascii="Arial" w:hAnsi="Arial" w:cs="Arial"/>
          <w:color w:val="000000"/>
          <w:kern w:val="0"/>
          <w:szCs w:val="20"/>
        </w:rPr>
        <w:t>Accord</w:t>
      </w:r>
      <w:r w:rsidR="00540EF6" w:rsidRPr="00730E76">
        <w:rPr>
          <w:rFonts w:ascii="Arial" w:hAnsi="Arial" w:cs="Arial"/>
          <w:color w:val="000000"/>
          <w:kern w:val="0"/>
          <w:szCs w:val="20"/>
        </w:rPr>
        <w:t>o</w:t>
      </w:r>
      <w:r w:rsidR="00802C83" w:rsidRPr="00730E76">
        <w:rPr>
          <w:rFonts w:ascii="Arial" w:hAnsi="Arial" w:cs="Arial"/>
          <w:color w:val="000000"/>
          <w:kern w:val="0"/>
          <w:szCs w:val="20"/>
        </w:rPr>
        <w:t xml:space="preserve"> Quadro avent</w:t>
      </w:r>
      <w:r w:rsidR="00540EF6" w:rsidRPr="00730E76">
        <w:rPr>
          <w:rFonts w:ascii="Arial" w:hAnsi="Arial" w:cs="Arial"/>
          <w:color w:val="000000"/>
          <w:kern w:val="0"/>
          <w:szCs w:val="20"/>
        </w:rPr>
        <w:t>e</w:t>
      </w:r>
      <w:r w:rsidR="00802C83" w:rsidRPr="00730E76">
        <w:rPr>
          <w:rFonts w:ascii="Arial" w:hAnsi="Arial" w:cs="Arial"/>
          <w:color w:val="000000"/>
          <w:kern w:val="0"/>
          <w:szCs w:val="20"/>
        </w:rPr>
        <w:t xml:space="preserve"> ad oggetto l’affidamento di servizi applicativi in ottica cloud per le Pubbliche Amministrazioni Centrali</w:t>
      </w:r>
      <w:r w:rsidRPr="00730E76">
        <w:rPr>
          <w:rFonts w:ascii="Arial" w:hAnsi="Arial" w:cs="Arial"/>
          <w:color w:val="000000"/>
          <w:kern w:val="0"/>
          <w:szCs w:val="20"/>
        </w:rPr>
        <w:t xml:space="preserve"> </w:t>
      </w:r>
      <w:r w:rsidR="00052674" w:rsidRPr="00730E76">
        <w:rPr>
          <w:rFonts w:ascii="Arial" w:hAnsi="Arial" w:cs="Arial"/>
          <w:color w:val="000000"/>
          <w:kern w:val="0"/>
          <w:szCs w:val="20"/>
        </w:rPr>
        <w:t>stipulato da e/o nell’interesse di (</w:t>
      </w:r>
      <w:r w:rsidR="00052674" w:rsidRPr="00730E76">
        <w:rPr>
          <w:rFonts w:ascii="Arial" w:hAnsi="Arial" w:cs="Arial"/>
          <w:i/>
          <w:color w:val="3333FF"/>
          <w:kern w:val="0"/>
          <w:szCs w:val="20"/>
        </w:rPr>
        <w:t xml:space="preserve">inserire denominazione dell’Aggiudicatario </w:t>
      </w:r>
      <w:r w:rsidR="00052674" w:rsidRPr="00730E76">
        <w:rPr>
          <w:rFonts w:ascii="Arial" w:hAnsi="Arial" w:cs="Arial"/>
          <w:color w:val="000000"/>
          <w:kern w:val="0"/>
          <w:szCs w:val="20"/>
        </w:rPr>
        <w:t xml:space="preserve">_____________) in conformità a quanto di seguito indicato. </w:t>
      </w:r>
    </w:p>
    <w:p w14:paraId="028C8C8C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rPr>
          <w:rFonts w:ascii="Arial" w:eastAsiaTheme="minorHAnsi" w:hAnsi="Arial" w:cs="Arial"/>
          <w:kern w:val="0"/>
          <w:szCs w:val="20"/>
          <w:lang w:eastAsia="en-US"/>
        </w:rPr>
      </w:pPr>
    </w:p>
    <w:p w14:paraId="64F881A4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DEFINIZIONI</w:t>
      </w:r>
    </w:p>
    <w:p w14:paraId="2C9265EB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SOCIETA’</w:t>
      </w: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ab/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ab/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ab/>
        <w:t>l’Impresa assicuratrice</w:t>
      </w:r>
    </w:p>
    <w:p w14:paraId="075CC416" w14:textId="0D31499E" w:rsidR="00052674" w:rsidRPr="00730E76" w:rsidRDefault="00052674" w:rsidP="00730E76">
      <w:pPr>
        <w:widowControl/>
        <w:autoSpaceDE/>
        <w:autoSpaceDN/>
        <w:adjustRightInd/>
        <w:spacing w:after="200" w:line="240" w:lineRule="auto"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COMMITTENTE</w:t>
      </w: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ab/>
      </w: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ab/>
      </w:r>
      <w:r w:rsidR="00EE579D" w:rsidRPr="00730E76">
        <w:rPr>
          <w:rFonts w:ascii="Arial" w:eastAsiaTheme="minorHAnsi" w:hAnsi="Arial" w:cs="Arial"/>
          <w:kern w:val="0"/>
          <w:szCs w:val="20"/>
          <w:lang w:eastAsia="en-US"/>
        </w:rPr>
        <w:t>Consip S.p.A.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</w:t>
      </w:r>
    </w:p>
    <w:p w14:paraId="0CDB400F" w14:textId="5993645B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CONTRAENTE</w:t>
      </w: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ab/>
      </w:r>
      <w:r w:rsidR="00674EE2" w:rsidRPr="00730E76">
        <w:rPr>
          <w:rFonts w:ascii="Arial" w:eastAsiaTheme="minorHAnsi" w:hAnsi="Arial" w:cs="Arial"/>
          <w:kern w:val="0"/>
          <w:szCs w:val="20"/>
          <w:lang w:eastAsia="en-US"/>
        </w:rPr>
        <w:tab/>
      </w:r>
      <w:r w:rsidR="00674EE2" w:rsidRPr="00730E76">
        <w:rPr>
          <w:rFonts w:ascii="Arial" w:eastAsiaTheme="minorHAnsi" w:hAnsi="Arial" w:cs="Arial"/>
          <w:kern w:val="0"/>
          <w:szCs w:val="20"/>
          <w:lang w:eastAsia="en-US"/>
        </w:rPr>
        <w:tab/>
        <w:t>L’aggiudicatario dell’a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>ppalto</w:t>
      </w:r>
    </w:p>
    <w:p w14:paraId="52353E8A" w14:textId="77777777" w:rsidR="00052674" w:rsidRPr="00730E76" w:rsidRDefault="00052674" w:rsidP="00730E76">
      <w:pPr>
        <w:widowControl/>
        <w:autoSpaceDE/>
        <w:autoSpaceDN/>
        <w:adjustRightInd/>
        <w:spacing w:line="276" w:lineRule="auto"/>
        <w:ind w:left="2832" w:hanging="2832"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ASSICURATO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ab/>
        <w:t>L’aggiudicatario dell’appalto, i suoi Amministratori, dirigenti e dipendenti, nonché subfornitori e subappaltatori.</w:t>
      </w:r>
    </w:p>
    <w:p w14:paraId="5FAD0BB9" w14:textId="33292F59" w:rsidR="00052674" w:rsidRPr="00730E76" w:rsidRDefault="00052674" w:rsidP="00730E76">
      <w:pPr>
        <w:widowControl/>
        <w:autoSpaceDE/>
        <w:autoSpaceDN/>
        <w:adjustRightInd/>
        <w:spacing w:line="276" w:lineRule="auto"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OGGETTO DELLA GARANZIA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ab/>
        <w:t>Il servizio, la fo</w:t>
      </w:r>
      <w:r w:rsidR="00674EE2" w:rsidRPr="00730E76">
        <w:rPr>
          <w:rFonts w:ascii="Arial" w:eastAsiaTheme="minorHAnsi" w:hAnsi="Arial" w:cs="Arial"/>
          <w:kern w:val="0"/>
          <w:szCs w:val="20"/>
          <w:lang w:eastAsia="en-US"/>
        </w:rPr>
        <w:t>rnitura o l’opera oggetto dell’a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>ppalto</w:t>
      </w:r>
    </w:p>
    <w:p w14:paraId="0CA79F03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rPr>
          <w:rFonts w:ascii="Arial" w:eastAsiaTheme="minorHAnsi" w:hAnsi="Arial" w:cs="Arial"/>
          <w:kern w:val="0"/>
          <w:szCs w:val="20"/>
          <w:lang w:eastAsia="en-US"/>
        </w:rPr>
      </w:pPr>
    </w:p>
    <w:p w14:paraId="158BF1A9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CONDIZIONI GENERALI</w:t>
      </w:r>
    </w:p>
    <w:p w14:paraId="34C2A362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Art. 1 Effetto e scadenza dell’Assicurazione</w:t>
      </w:r>
    </w:p>
    <w:p w14:paraId="2A02A8EA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L’assicurazione ha effetto dalle ore 24.00 del ……………alle ore 24.00 del……………………….</w:t>
      </w:r>
    </w:p>
    <w:p w14:paraId="4316E955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Art. 2 Novero dei terzi</w:t>
      </w:r>
    </w:p>
    <w:p w14:paraId="610230ED" w14:textId="606D9EC5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Si considera nel novero dei terzi </w:t>
      </w:r>
      <w:r w:rsidR="00EE579D" w:rsidRPr="00730E76">
        <w:rPr>
          <w:rFonts w:ascii="Arial" w:hAnsi="Arial" w:cs="Arial"/>
          <w:color w:val="000000"/>
          <w:kern w:val="0"/>
          <w:lang w:val="x-none" w:eastAsia="en-US"/>
        </w:rPr>
        <w:t>la Committente e le Amministrazioni acquirenti,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i </w:t>
      </w:r>
      <w:r w:rsidR="00EE579D"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loro 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>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2C1BE624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Art. 3 Trasmissione di denuncia dei sinistri</w:t>
      </w:r>
    </w:p>
    <w:p w14:paraId="6224C385" w14:textId="08FF0DD7" w:rsidR="00EC0E75" w:rsidRPr="00730E76" w:rsidRDefault="00052674" w:rsidP="00730E76">
      <w:pPr>
        <w:widowControl/>
        <w:autoSpaceDE/>
        <w:autoSpaceDN/>
        <w:adjustRightInd/>
        <w:spacing w:after="200" w:line="276" w:lineRule="auto"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Qualora la Committente</w:t>
      </w:r>
      <w:r w:rsidR="00EE579D"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</w:t>
      </w:r>
      <w:r w:rsidR="00EE579D" w:rsidRPr="00730E76">
        <w:rPr>
          <w:rFonts w:ascii="Arial" w:hAnsi="Arial" w:cs="Arial"/>
          <w:color w:val="000000"/>
          <w:kern w:val="0"/>
          <w:lang w:val="x-none" w:eastAsia="en-US"/>
        </w:rPr>
        <w:t>e le Amministrazioni acquirenti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fosse</w:t>
      </w:r>
      <w:r w:rsidR="00EE579D" w:rsidRPr="00730E76">
        <w:rPr>
          <w:rFonts w:ascii="Arial" w:eastAsiaTheme="minorHAnsi" w:hAnsi="Arial" w:cs="Arial"/>
          <w:kern w:val="0"/>
          <w:szCs w:val="20"/>
          <w:lang w:eastAsia="en-US"/>
        </w:rPr>
        <w:t>ro chiamate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a rispondere per evento dannoso ascrivibile per legge all’Assicurato, è data a questa la facoltà di trasmettere direttamente la denuncia di sinistro alla Società.</w:t>
      </w:r>
      <w:r w:rsidR="00EC0E75"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br w:type="page"/>
      </w:r>
    </w:p>
    <w:p w14:paraId="779B08FE" w14:textId="7176250E" w:rsidR="00052674" w:rsidRPr="00730E76" w:rsidRDefault="00136DCF" w:rsidP="00730E76">
      <w:pPr>
        <w:widowControl/>
        <w:autoSpaceDE/>
        <w:autoSpaceDN/>
        <w:adjustRightInd/>
        <w:spacing w:line="276" w:lineRule="auto"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lastRenderedPageBreak/>
        <w:t>Art. 4 Modifiche contrattuali</w:t>
      </w:r>
      <w:r w:rsidR="00052674"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, inadempienze</w:t>
      </w:r>
    </w:p>
    <w:p w14:paraId="11B4F2C9" w14:textId="2448E94C" w:rsidR="00052674" w:rsidRPr="00730E76" w:rsidRDefault="00052674" w:rsidP="00730E76">
      <w:pPr>
        <w:widowControl/>
        <w:autoSpaceDE/>
        <w:autoSpaceDN/>
        <w:adjustRightInd/>
        <w:spacing w:line="276" w:lineRule="auto"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La Società si impegna a dare avviso scritto alla Committente, con raccomandata A.R. alla ___________, Via ___________ oppure via PEC all’indirizzo PEC ____________ entro 30</w:t>
      </w:r>
      <w:r w:rsidR="00136DCF"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(trenta)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giorni dal verificarsi dell’evento, di ogni modifica contrattuale in senso peggiorativo delle clausole previste dal presente documento, nonché di ogni inadempienza del Contraente/Assicurato che possa comportare la non operatività della garanzia anche con specifico riguardo al mancato paga</w:t>
      </w:r>
      <w:r w:rsidR="00136DCF" w:rsidRPr="00730E76">
        <w:rPr>
          <w:rFonts w:ascii="Arial" w:eastAsiaTheme="minorHAnsi" w:hAnsi="Arial" w:cs="Arial"/>
          <w:kern w:val="0"/>
          <w:szCs w:val="20"/>
          <w:lang w:eastAsia="en-US"/>
        </w:rPr>
        <w:t>mento del premio ai sensi dell’a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>rt. 1901 del cc.</w:t>
      </w:r>
    </w:p>
    <w:p w14:paraId="65D2BBE5" w14:textId="2532483A" w:rsidR="00052674" w:rsidRPr="00730E76" w:rsidRDefault="00052674" w:rsidP="00730E76">
      <w:pPr>
        <w:widowControl/>
        <w:autoSpaceDE/>
        <w:autoSpaceDN/>
        <w:adjustRightInd/>
        <w:spacing w:line="276" w:lineRule="auto"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In tale specifico caso la Committente avrà facoltà di provvedere direttamente al pagamento del premio, entro un periodo di 60 </w:t>
      </w:r>
      <w:r w:rsidR="00136DCF"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(sessanta) 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>giorni dal mancato versamento del premio da parte del Contraente/Assicurato, periodo durante il quale la Società si impegna a mantenere valida ed efficace la/le polizza/e di assicurazione.</w:t>
      </w:r>
    </w:p>
    <w:p w14:paraId="607F26D7" w14:textId="77777777" w:rsidR="00052674" w:rsidRPr="00730E76" w:rsidRDefault="00052674" w:rsidP="00730E76">
      <w:pPr>
        <w:widowControl/>
        <w:autoSpaceDE/>
        <w:autoSpaceDN/>
        <w:adjustRightInd/>
        <w:spacing w:line="276" w:lineRule="auto"/>
        <w:rPr>
          <w:rFonts w:ascii="Arial" w:eastAsiaTheme="minorHAnsi" w:hAnsi="Arial" w:cs="Arial"/>
          <w:kern w:val="0"/>
          <w:szCs w:val="20"/>
          <w:lang w:eastAsia="en-US"/>
        </w:rPr>
      </w:pPr>
    </w:p>
    <w:p w14:paraId="09020078" w14:textId="77777777" w:rsidR="00052674" w:rsidRPr="00730E76" w:rsidRDefault="00052674" w:rsidP="00730E76">
      <w:pPr>
        <w:widowControl/>
        <w:autoSpaceDE/>
        <w:autoSpaceDN/>
        <w:adjustRightInd/>
        <w:spacing w:line="276" w:lineRule="auto"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Art. 5 Pagamento dei sinistri</w:t>
      </w:r>
    </w:p>
    <w:p w14:paraId="2CD8A076" w14:textId="77777777" w:rsidR="00052674" w:rsidRPr="00730E76" w:rsidRDefault="00052674" w:rsidP="00730E76">
      <w:pPr>
        <w:widowControl/>
        <w:autoSpaceDE/>
        <w:autoSpaceDN/>
        <w:adjustRightInd/>
        <w:spacing w:line="276" w:lineRule="auto"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0D90906F" w14:textId="77777777" w:rsidR="00052674" w:rsidRPr="00730E76" w:rsidRDefault="00052674" w:rsidP="00730E76">
      <w:pPr>
        <w:widowControl/>
        <w:autoSpaceDE/>
        <w:autoSpaceDN/>
        <w:adjustRightInd/>
        <w:spacing w:line="276" w:lineRule="auto"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Solo con il benestare della Società l’Assicurato potrà indennizzare direttamente il terzo con l’intesa che successivamente la Società liquiderà il sinistro al proprio assicurato.</w:t>
      </w:r>
    </w:p>
    <w:p w14:paraId="7E01A353" w14:textId="77777777" w:rsidR="00052674" w:rsidRPr="00730E76" w:rsidRDefault="00052674" w:rsidP="00730E76">
      <w:pPr>
        <w:widowControl/>
        <w:autoSpaceDE/>
        <w:autoSpaceDN/>
        <w:adjustRightInd/>
        <w:spacing w:line="276" w:lineRule="auto"/>
        <w:rPr>
          <w:rFonts w:ascii="Arial" w:eastAsiaTheme="minorHAnsi" w:hAnsi="Arial" w:cs="Arial"/>
          <w:kern w:val="0"/>
          <w:szCs w:val="20"/>
          <w:lang w:eastAsia="en-US"/>
        </w:rPr>
      </w:pPr>
    </w:p>
    <w:p w14:paraId="1FE39F6A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br w:type="page"/>
      </w:r>
    </w:p>
    <w:p w14:paraId="7A676D83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</w:p>
    <w:p w14:paraId="6CE129C8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</w:p>
    <w:p w14:paraId="150CCCC7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</w:p>
    <w:p w14:paraId="2718B028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GARANZIE ASSICURATIVE - LIMITI DI INDENNIZZO</w:t>
      </w:r>
    </w:p>
    <w:p w14:paraId="792ABB68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</w:p>
    <w:p w14:paraId="77646C8E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u w:val="single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u w:val="single"/>
          <w:lang w:eastAsia="en-US"/>
        </w:rPr>
        <w:t>POLIZZA RESPONSABILITA’ CIVILE VERSO TERZI E DIPENDENTI</w:t>
      </w:r>
    </w:p>
    <w:p w14:paraId="62A57374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</w:p>
    <w:p w14:paraId="004B0A54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A) Sezione RCT</w:t>
      </w:r>
    </w:p>
    <w:p w14:paraId="59D7DC2E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 xml:space="preserve">Art. 1 Oggetto dell’Assicurazione </w:t>
      </w:r>
    </w:p>
    <w:p w14:paraId="4926BC3C" w14:textId="79852359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oggetto dell’appalto (comprese le complementari, accessorie, connesse e collegate) svolta anche presso terzi. </w:t>
      </w:r>
    </w:p>
    <w:p w14:paraId="6E1024C2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lang w:eastAsia="en-US"/>
        </w:rPr>
      </w:pPr>
    </w:p>
    <w:p w14:paraId="7C5F13F2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 xml:space="preserve">Art. 2 Massimale </w:t>
      </w:r>
    </w:p>
    <w:p w14:paraId="668D134A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€ 3.000.000 per sinistro/anno </w:t>
      </w:r>
    </w:p>
    <w:p w14:paraId="4D29D8C5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</w:p>
    <w:p w14:paraId="596DE411" w14:textId="77777777" w:rsidR="00052674" w:rsidRPr="00730E76" w:rsidRDefault="00052674" w:rsidP="00730E76">
      <w:pPr>
        <w:widowControl/>
        <w:autoSpaceDE/>
        <w:autoSpaceDN/>
        <w:adjustRightInd/>
        <w:spacing w:after="200" w:line="240" w:lineRule="auto"/>
        <w:ind w:firstLine="708"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 xml:space="preserve">Art. 3 Clausole aggiuntive </w:t>
      </w:r>
    </w:p>
    <w:p w14:paraId="67D34C98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La polizza dovrà richiamare le seguenti clausole aggiuntive:</w:t>
      </w:r>
    </w:p>
    <w:p w14:paraId="302E5D0E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a)  i danni a terzi conseguenziali e da interruzione di esercizio con un limite minimo assicurato pari al 10% del massimale di polizza;</w:t>
      </w:r>
    </w:p>
    <w:p w14:paraId="7DB4A2E5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b) i danni a terzi da incendio delle cose di proprietà dell’Assicurato con un limite minimo assicurato pari al 10% del massimale di polizza;</w:t>
      </w:r>
    </w:p>
    <w:p w14:paraId="15DA2FF8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c) i danni a cose di terzi che si trovano nell’ambito dei lavori con un limite minimo assicurato pari al 10% del massimale di polizza.</w:t>
      </w:r>
    </w:p>
    <w:p w14:paraId="6E6EEB79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</w:p>
    <w:p w14:paraId="304C6B82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B) Sezione RCO</w:t>
      </w:r>
    </w:p>
    <w:p w14:paraId="7EC51917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lang w:eastAsia="en-US"/>
        </w:rPr>
      </w:pPr>
    </w:p>
    <w:p w14:paraId="6A607067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 xml:space="preserve">Art. 1 Oggetto dell’Assicurazione </w:t>
      </w:r>
    </w:p>
    <w:p w14:paraId="10C512BC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La Società si obbliga a tenere indenne l’Assicurato di quanto questi sia tenuto a pagare, quale civilmente responsabile per gli infortuni sofferti dai propri prestatori di lavoro.</w:t>
      </w:r>
    </w:p>
    <w:p w14:paraId="736C7EAD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</w:p>
    <w:p w14:paraId="24449E86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 xml:space="preserve">Art. 2 Massimali </w:t>
      </w:r>
    </w:p>
    <w:p w14:paraId="77822EE7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€ 3.000.000 per sinistro/anno con il massimo di € 1.500.000 per persona</w:t>
      </w:r>
    </w:p>
    <w:p w14:paraId="584E44E9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</w:p>
    <w:p w14:paraId="4DB67530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Art. 3 Prestatore di lavoro</w:t>
      </w:r>
    </w:p>
    <w:p w14:paraId="6BBA8468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La definizione prevista dalla normativa in vigore al momento del sinistro   </w:t>
      </w:r>
    </w:p>
    <w:p w14:paraId="6D767F0B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</w:p>
    <w:p w14:paraId="75F4AD2C" w14:textId="6D8B7640" w:rsidR="009353ED" w:rsidRPr="00730E76" w:rsidRDefault="009353ED" w:rsidP="00730E76">
      <w:pPr>
        <w:widowControl/>
        <w:autoSpaceDE/>
        <w:autoSpaceDN/>
        <w:adjustRightInd/>
        <w:spacing w:after="200" w:line="276" w:lineRule="auto"/>
        <w:rPr>
          <w:rFonts w:ascii="Arial" w:eastAsiaTheme="minorHAnsi" w:hAnsi="Arial" w:cs="Arial"/>
          <w:b/>
          <w:kern w:val="0"/>
          <w:szCs w:val="20"/>
          <w:u w:val="single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u w:val="single"/>
          <w:lang w:eastAsia="en-US"/>
        </w:rPr>
        <w:br w:type="page"/>
      </w:r>
    </w:p>
    <w:p w14:paraId="1A445D54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u w:val="single"/>
          <w:lang w:eastAsia="en-US"/>
        </w:rPr>
      </w:pPr>
    </w:p>
    <w:p w14:paraId="34982C6D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u w:val="single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u w:val="single"/>
          <w:lang w:eastAsia="en-US"/>
        </w:rPr>
        <w:t>POLIZZA RESPONSABILITA’ CIVILE PROFESSIONALE</w:t>
      </w:r>
    </w:p>
    <w:p w14:paraId="4CED15C8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u w:val="single"/>
          <w:lang w:eastAsia="en-US"/>
        </w:rPr>
      </w:pPr>
    </w:p>
    <w:p w14:paraId="3E697EBC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 xml:space="preserve">Art. 1 Oggetto dell’Assicurazione </w:t>
      </w:r>
    </w:p>
    <w:p w14:paraId="702FCD68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14:paraId="74E80A2F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lang w:eastAsia="en-US"/>
        </w:rPr>
      </w:pPr>
    </w:p>
    <w:p w14:paraId="04DBB393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 xml:space="preserve">Art. 2 Massimali </w:t>
      </w:r>
    </w:p>
    <w:p w14:paraId="7B84C3AC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€ 3.000.000 per sinistro/anno</w:t>
      </w:r>
    </w:p>
    <w:p w14:paraId="2F53A34F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</w:p>
    <w:p w14:paraId="36ACD110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hAnsi="Arial" w:cs="Arial"/>
          <w:i/>
          <w:color w:val="0B4CB5"/>
          <w:kern w:val="0"/>
          <w:szCs w:val="20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 xml:space="preserve">Art. 3 Clausole aggiuntive </w:t>
      </w:r>
    </w:p>
    <w:p w14:paraId="1EDD119B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hAnsi="Arial" w:cs="Arial"/>
          <w:i/>
          <w:color w:val="0B4CB5"/>
          <w:kern w:val="0"/>
          <w:szCs w:val="20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L’Assicurazione comprende anche:</w:t>
      </w:r>
    </w:p>
    <w:p w14:paraId="21F92307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a) le perdite patrimoniali conseguenti a danni materiali e diretti- compresi quelli alle cose sulle quali si eseguono i lavori con un limite minimo assicurato pari al 10% del massimale di polizza;</w:t>
      </w:r>
    </w:p>
    <w:p w14:paraId="6DC19477" w14:textId="517CDDD5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b) I danni consequenziali e da interruzione del servizio con un limite minimo assicurato pari </w:t>
      </w:r>
      <w:r w:rsidR="00136DCF" w:rsidRPr="00730E76">
        <w:rPr>
          <w:rFonts w:ascii="Arial" w:eastAsiaTheme="minorHAnsi" w:hAnsi="Arial" w:cs="Arial"/>
          <w:kern w:val="0"/>
          <w:szCs w:val="20"/>
          <w:lang w:eastAsia="en-US"/>
        </w:rPr>
        <w:t>al 10% del massimale di polizza.</w:t>
      </w:r>
    </w:p>
    <w:p w14:paraId="366979AA" w14:textId="0AE49FF4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c) Danni conseguenti a divulgazione di notizie e informazioni avvenute involontariamente e unicamente in conseguenza di errori professionali nell’ambito dell’attività assicurata, per fatto dei dipendenti o di persone di cui l’Assicurato è tenuto a rispondere, comprese quelle conseguenti a violazione di quanto disposto dalla normativa vigente in materia, sempre che siano conseguenti unicamente ad errori professionali nell’ambito dell’attività assicurata</w:t>
      </w:r>
      <w:r w:rsidR="00136DCF" w:rsidRPr="00730E76">
        <w:rPr>
          <w:rFonts w:ascii="Arial" w:eastAsiaTheme="minorHAnsi" w:hAnsi="Arial" w:cs="Arial"/>
          <w:kern w:val="0"/>
          <w:szCs w:val="20"/>
          <w:lang w:eastAsia="en-US"/>
        </w:rPr>
        <w:t>.</w:t>
      </w:r>
    </w:p>
    <w:p w14:paraId="076D3FE9" w14:textId="3B687ACB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d)</w:t>
      </w:r>
      <w:r w:rsidR="00EC0E75"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>Danni connessi a difetto del software fornito nell’ambito del servizio oggetto dell’appalto</w:t>
      </w:r>
      <w:r w:rsidR="00136DCF" w:rsidRPr="00730E76">
        <w:rPr>
          <w:rFonts w:ascii="Arial" w:eastAsiaTheme="minorHAnsi" w:hAnsi="Arial" w:cs="Arial"/>
          <w:kern w:val="0"/>
          <w:szCs w:val="20"/>
          <w:lang w:eastAsia="en-US"/>
        </w:rPr>
        <w:t>.</w:t>
      </w:r>
    </w:p>
    <w:p w14:paraId="05397642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</w:p>
    <w:p w14:paraId="087A86B1" w14:textId="6215350E" w:rsidR="00052674" w:rsidRPr="00730E76" w:rsidRDefault="00136DCF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>N.B.</w:t>
      </w:r>
      <w:r w:rsidR="00052674"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Qualora la polizza RC professionale presentata annoveri tra le esclusioni la fattispecie di cui al punto c) sarà necessario chiedere apposita deroga a detta esclusione o in alternativa presentazione di eventuale diversa e idonea copertura a garanzia di detti eventi.</w:t>
      </w:r>
    </w:p>
    <w:p w14:paraId="5F8DD711" w14:textId="77777777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</w:p>
    <w:p w14:paraId="5F808BCE" w14:textId="5A51091D" w:rsidR="00052674" w:rsidRPr="00730E76" w:rsidRDefault="00136DCF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b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>Art. 4</w:t>
      </w:r>
      <w:r w:rsidR="00052674" w:rsidRPr="00730E76">
        <w:rPr>
          <w:rFonts w:ascii="Arial" w:eastAsiaTheme="minorHAnsi" w:hAnsi="Arial" w:cs="Arial"/>
          <w:b/>
          <w:kern w:val="0"/>
          <w:szCs w:val="20"/>
          <w:lang w:eastAsia="en-US"/>
        </w:rPr>
        <w:t xml:space="preserve"> Validità temporale </w:t>
      </w:r>
    </w:p>
    <w:p w14:paraId="61803580" w14:textId="39D6C662" w:rsidR="00052674" w:rsidRPr="00730E76" w:rsidRDefault="00052674" w:rsidP="00730E76">
      <w:pPr>
        <w:widowControl/>
        <w:autoSpaceDE/>
        <w:autoSpaceDN/>
        <w:adjustRightInd/>
        <w:spacing w:after="200" w:line="276" w:lineRule="auto"/>
        <w:ind w:left="720"/>
        <w:contextualSpacing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Le garanzie prestate dalla presente polizza devono intendersi valide per i danni occorsi dalla data di inizio della </w:t>
      </w:r>
      <w:r w:rsidR="00EC0E75" w:rsidRPr="00730E76">
        <w:rPr>
          <w:rFonts w:ascii="Arial" w:eastAsiaTheme="minorHAnsi" w:hAnsi="Arial" w:cs="Arial"/>
          <w:kern w:val="0"/>
          <w:szCs w:val="20"/>
          <w:lang w:eastAsia="en-US"/>
        </w:rPr>
        <w:t>prestazione oggetto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dell’appalto, </w:t>
      </w:r>
      <w:r w:rsidR="00EC0E75" w:rsidRPr="00730E76">
        <w:rPr>
          <w:rFonts w:ascii="Arial" w:eastAsiaTheme="minorHAnsi" w:hAnsi="Arial" w:cs="Arial"/>
          <w:kern w:val="0"/>
          <w:szCs w:val="20"/>
          <w:lang w:eastAsia="en-US"/>
        </w:rPr>
        <w:t>purché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richiesti all’aggiudicatario entro due anni dal termine del servizio stesso.</w:t>
      </w:r>
    </w:p>
    <w:p w14:paraId="0E915D46" w14:textId="77777777" w:rsidR="00052674" w:rsidRPr="00730E76" w:rsidRDefault="00052674" w:rsidP="00730E76">
      <w:pPr>
        <w:widowControl/>
        <w:autoSpaceDE/>
        <w:autoSpaceDN/>
        <w:adjustRightInd/>
        <w:spacing w:after="200" w:line="240" w:lineRule="auto"/>
        <w:ind w:left="709"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u w:val="single"/>
          <w:lang w:eastAsia="en-US"/>
        </w:rPr>
        <w:t>In caso di polizza con tacito rinnovo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dovrà essere richiamata la seguente clausola:</w:t>
      </w:r>
    </w:p>
    <w:p w14:paraId="288D78B3" w14:textId="546F2256" w:rsidR="00052674" w:rsidRPr="00730E76" w:rsidRDefault="00052674" w:rsidP="00730E76">
      <w:pPr>
        <w:widowControl/>
        <w:autoSpaceDE/>
        <w:autoSpaceDN/>
        <w:adjustRightInd/>
        <w:spacing w:after="200" w:line="240" w:lineRule="auto"/>
        <w:ind w:left="709"/>
        <w:rPr>
          <w:rFonts w:ascii="Arial" w:eastAsiaTheme="minorHAnsi" w:hAnsi="Arial" w:cs="Arial"/>
          <w:kern w:val="0"/>
          <w:szCs w:val="20"/>
          <w:lang w:eastAsia="en-US"/>
        </w:rPr>
      </w:pP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Le garanzie prestate dalla presente polizza devono intendersi valide per i danni occorsi dalla data di inizio del servizio </w:t>
      </w:r>
      <w:r w:rsidR="00136DCF" w:rsidRPr="00730E76">
        <w:rPr>
          <w:rFonts w:ascii="Arial" w:eastAsiaTheme="minorHAnsi" w:hAnsi="Arial" w:cs="Arial"/>
          <w:kern w:val="0"/>
          <w:szCs w:val="20"/>
          <w:lang w:eastAsia="en-US"/>
        </w:rPr>
        <w:t>oggetto dell’appalto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>.</w:t>
      </w:r>
      <w:r w:rsidR="00136DCF"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>Se alla scadenza della polizza la Società dovesse annullare o se si rif</w:t>
      </w:r>
      <w:r w:rsidR="00136DCF" w:rsidRPr="00730E76">
        <w:rPr>
          <w:rFonts w:ascii="Arial" w:eastAsiaTheme="minorHAnsi" w:hAnsi="Arial" w:cs="Arial"/>
          <w:kern w:val="0"/>
          <w:szCs w:val="20"/>
          <w:lang w:eastAsia="en-US"/>
        </w:rPr>
        <w:t>iutasse di rinnovare la polizza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, </w:t>
      </w:r>
      <w:r w:rsidR="00EC0E75" w:rsidRPr="00730E76">
        <w:rPr>
          <w:rFonts w:ascii="Arial" w:eastAsiaTheme="minorHAnsi" w:hAnsi="Arial" w:cs="Arial"/>
          <w:kern w:val="0"/>
          <w:szCs w:val="20"/>
          <w:lang w:eastAsia="en-US"/>
        </w:rPr>
        <w:t>così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come la Contraente si rifiut</w:t>
      </w:r>
      <w:r w:rsidR="00136DCF"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asse di rinnovare la polizza, 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e </w:t>
      </w:r>
      <w:r w:rsidR="00EC0E75" w:rsidRPr="00730E76">
        <w:rPr>
          <w:rFonts w:ascii="Arial" w:eastAsiaTheme="minorHAnsi" w:hAnsi="Arial" w:cs="Arial"/>
          <w:kern w:val="0"/>
          <w:szCs w:val="20"/>
          <w:lang w:eastAsia="en-US"/>
        </w:rPr>
        <w:t>sempreché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non sia stata stipulata una nuova poliz</w:t>
      </w:r>
      <w:r w:rsidR="00136DCF"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za per  le medesime garanzie, 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r w:rsidR="00EC0E75" w:rsidRPr="00730E76">
        <w:rPr>
          <w:rFonts w:ascii="Arial" w:eastAsiaTheme="minorHAnsi" w:hAnsi="Arial" w:cs="Arial"/>
          <w:kern w:val="0"/>
          <w:szCs w:val="20"/>
          <w:lang w:eastAsia="en-US"/>
        </w:rPr>
        <w:t>purché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 </w:t>
      </w:r>
      <w:r w:rsidR="00136DCF" w:rsidRPr="00730E76">
        <w:rPr>
          <w:rFonts w:ascii="Arial" w:eastAsiaTheme="minorHAnsi" w:hAnsi="Arial" w:cs="Arial"/>
          <w:kern w:val="0"/>
          <w:szCs w:val="20"/>
          <w:lang w:eastAsia="en-US"/>
        </w:rPr>
        <w:t xml:space="preserve">tale </w:t>
      </w:r>
      <w:r w:rsidR="00136DCF" w:rsidRPr="00730E76">
        <w:rPr>
          <w:rFonts w:ascii="Arial" w:eastAsiaTheme="minorHAnsi" w:hAnsi="Arial" w:cs="Arial"/>
          <w:kern w:val="0"/>
          <w:szCs w:val="20"/>
          <w:lang w:eastAsia="en-US"/>
        </w:rPr>
        <w:lastRenderedPageBreak/>
        <w:t xml:space="preserve">richiesta sia conseguente </w:t>
      </w:r>
      <w:r w:rsidRPr="00730E76">
        <w:rPr>
          <w:rFonts w:ascii="Arial" w:eastAsiaTheme="minorHAnsi" w:hAnsi="Arial" w:cs="Arial"/>
          <w:kern w:val="0"/>
          <w:szCs w:val="20"/>
          <w:lang w:eastAsia="en-US"/>
        </w:rPr>
        <w:t>ad un atto illecito professionale commesso prima di tale periodo di estensione.</w:t>
      </w:r>
    </w:p>
    <w:sectPr w:rsidR="00052674" w:rsidRPr="00730E76" w:rsidSect="00B2085E">
      <w:headerReference w:type="default" r:id="rId11"/>
      <w:footerReference w:type="default" r:id="rId12"/>
      <w:head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A12D0" w14:textId="77777777" w:rsidR="00030902" w:rsidRDefault="00030902" w:rsidP="007F0195">
      <w:pPr>
        <w:spacing w:line="240" w:lineRule="auto"/>
      </w:pPr>
      <w:r>
        <w:separator/>
      </w:r>
    </w:p>
  </w:endnote>
  <w:endnote w:type="continuationSeparator" w:id="0">
    <w:p w14:paraId="4DBCC76B" w14:textId="77777777" w:rsidR="00030902" w:rsidRDefault="00030902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09CEC" w14:textId="47F91FC3" w:rsidR="002A2132" w:rsidRPr="00F21E3C" w:rsidRDefault="002A2132" w:rsidP="002A2132">
    <w:pPr>
      <w:pBdr>
        <w:top w:val="single" w:sz="4" w:space="0" w:color="auto"/>
      </w:pBdr>
      <w:spacing w:line="240" w:lineRule="auto"/>
      <w:rPr>
        <w:rFonts w:ascii="Arial" w:hAnsi="Arial" w:cs="Arial"/>
        <w:noProof/>
        <w:kern w:val="0"/>
        <w:sz w:val="16"/>
        <w:szCs w:val="16"/>
      </w:rPr>
    </w:pPr>
    <w:bookmarkStart w:id="0" w:name="_Hlk213082376"/>
    <w:bookmarkStart w:id="1" w:name="_Hlk213082377"/>
    <w:r w:rsidRPr="00F21E3C">
      <w:rPr>
        <w:rFonts w:ascii="Arial" w:hAnsi="Arial" w:cs="Arial"/>
        <w:sz w:val="16"/>
        <w:szCs w:val="16"/>
      </w:rPr>
      <w:t>Procedura aperta per l’affidamento di</w:t>
    </w:r>
    <w:r w:rsidR="006C06FB">
      <w:rPr>
        <w:rFonts w:ascii="Arial" w:hAnsi="Arial" w:cs="Arial"/>
        <w:sz w:val="16"/>
        <w:szCs w:val="16"/>
      </w:rPr>
      <w:t xml:space="preserve"> un </w:t>
    </w:r>
    <w:r w:rsidRPr="00F21E3C">
      <w:rPr>
        <w:rFonts w:ascii="Arial" w:hAnsi="Arial" w:cs="Arial"/>
        <w:sz w:val="16"/>
        <w:szCs w:val="16"/>
      </w:rPr>
      <w:t>Accord</w:t>
    </w:r>
    <w:r w:rsidR="006C06FB">
      <w:rPr>
        <w:rFonts w:ascii="Arial" w:hAnsi="Arial" w:cs="Arial"/>
        <w:sz w:val="16"/>
        <w:szCs w:val="16"/>
      </w:rPr>
      <w:t>o</w:t>
    </w:r>
    <w:r w:rsidRPr="00F21E3C">
      <w:rPr>
        <w:rFonts w:ascii="Arial" w:hAnsi="Arial" w:cs="Arial"/>
        <w:sz w:val="16"/>
        <w:szCs w:val="16"/>
      </w:rPr>
      <w:t xml:space="preserve"> Quadro, ai sensi del D. Lgs. n. 36/2023 e s.m.i., avent</w:t>
    </w:r>
    <w:r w:rsidR="006C06FB">
      <w:rPr>
        <w:rFonts w:ascii="Arial" w:hAnsi="Arial" w:cs="Arial"/>
        <w:sz w:val="16"/>
        <w:szCs w:val="16"/>
      </w:rPr>
      <w:t>e</w:t>
    </w:r>
    <w:r w:rsidRPr="00F21E3C">
      <w:rPr>
        <w:rFonts w:ascii="Arial" w:hAnsi="Arial" w:cs="Arial"/>
        <w:sz w:val="16"/>
        <w:szCs w:val="16"/>
      </w:rPr>
      <w:t xml:space="preserve"> ad oggetto servizi applicativi in ottica cloud per le Pubbliche Amministrazioni Centrali </w:t>
    </w:r>
    <w:r w:rsidRPr="00F21E3C">
      <w:rPr>
        <w:rFonts w:ascii="Arial" w:hAnsi="Arial" w:cs="Arial"/>
        <w:noProof/>
        <w:sz w:val="16"/>
        <w:szCs w:val="16"/>
      </w:rPr>
      <w:t>– ID 2860</w:t>
    </w:r>
  </w:p>
  <w:p w14:paraId="29D0E765" w14:textId="518B0843" w:rsidR="002A2132" w:rsidRPr="00F21E3C" w:rsidRDefault="002A2132" w:rsidP="002A2132">
    <w:pPr>
      <w:spacing w:line="240" w:lineRule="auto"/>
      <w:rPr>
        <w:rFonts w:ascii="Arial" w:hAnsi="Arial" w:cs="Arial"/>
        <w:sz w:val="16"/>
        <w:szCs w:val="16"/>
      </w:rPr>
    </w:pPr>
    <w:r w:rsidRPr="00F21E3C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48EDAB8" wp14:editId="77697FCF">
              <wp:simplePos x="0" y="0"/>
              <wp:positionH relativeFrom="column">
                <wp:posOffset>5308600</wp:posOffset>
              </wp:positionH>
              <wp:positionV relativeFrom="paragraph">
                <wp:posOffset>84455</wp:posOffset>
              </wp:positionV>
              <wp:extent cx="1228725" cy="445770"/>
              <wp:effectExtent l="0" t="0" r="9525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8725" cy="445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9E6976" w14:textId="74B303EC" w:rsidR="002A2132" w:rsidRPr="00684573" w:rsidRDefault="002A2132" w:rsidP="002A2132">
                          <w:pPr>
                            <w:pStyle w:val="Nessunaspaziatura"/>
                            <w:rPr>
                              <w:rFonts w:ascii="Calibri" w:hAnsi="Calibri"/>
                              <w:b/>
                              <w:sz w:val="18"/>
                              <w:szCs w:val="18"/>
                            </w:rPr>
                          </w:pPr>
                          <w:r w:rsidRPr="00684573">
                            <w:rPr>
                              <w:rStyle w:val="Numeropagina"/>
                              <w:rFonts w:ascii="Calibri" w:hAnsi="Calibri" w:cs="Calibr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684573">
                            <w:rPr>
                              <w:rStyle w:val="Numeropagina"/>
                              <w:rFonts w:ascii="Calibri" w:hAnsi="Calibri" w:cs="Calibri"/>
                              <w:b w:val="0"/>
                              <w:sz w:val="18"/>
                              <w:szCs w:val="18"/>
                            </w:rPr>
                            <w:instrText xml:space="preserve"> PAGE  </w:instrText>
                          </w:r>
                          <w:r w:rsidRPr="00684573">
                            <w:rPr>
                              <w:rStyle w:val="Numeropagina"/>
                              <w:rFonts w:ascii="Calibri" w:hAnsi="Calibri" w:cs="Calibr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ascii="Calibri" w:hAnsi="Calibri" w:cs="Calibr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684573">
                            <w:rPr>
                              <w:rStyle w:val="Numeropagina"/>
                              <w:rFonts w:ascii="Calibri" w:hAnsi="Calibri" w:cs="Calibr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684573">
                            <w:rPr>
                              <w:rStyle w:val="Numeropagina"/>
                              <w:rFonts w:ascii="Calibri" w:hAnsi="Calibri" w:cs="Calibri"/>
                              <w:b w:val="0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684573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684573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 w:rsidRPr="00684573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510C28">
                            <w:rPr>
                              <w:rFonts w:ascii="Calibri" w:hAnsi="Calibri"/>
                              <w:noProof/>
                              <w:sz w:val="18"/>
                              <w:szCs w:val="18"/>
                            </w:rPr>
                            <w:t>6</w:t>
                          </w:r>
                          <w:r w:rsidRPr="00684573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8EDAB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18pt;margin-top:6.65pt;width:96.75pt;height:3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" stroked="f">
              <v:textbox>
                <w:txbxContent>
                  <w:p w14:paraId="289E6976" w14:textId="74B303EC" w:rsidR="002A2132" w:rsidRPr="00684573" w:rsidRDefault="002A2132" w:rsidP="002A2132">
                    <w:pPr>
                      <w:pStyle w:val="Nessunaspaziatura"/>
                      <w:rPr>
                        <w:rFonts w:ascii="Calibri" w:hAnsi="Calibri"/>
                        <w:b/>
                        <w:sz w:val="18"/>
                        <w:szCs w:val="18"/>
                      </w:rPr>
                    </w:pPr>
                    <w:r w:rsidRPr="00684573">
                      <w:rPr>
                        <w:rStyle w:val="Numeropagina"/>
                        <w:rFonts w:ascii="Calibri" w:hAnsi="Calibri" w:cs="Calibr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684573">
                      <w:rPr>
                        <w:rStyle w:val="Numeropagina"/>
                        <w:rFonts w:ascii="Calibri" w:hAnsi="Calibri" w:cs="Calibri"/>
                        <w:b w:val="0"/>
                        <w:sz w:val="18"/>
                        <w:szCs w:val="18"/>
                      </w:rPr>
                      <w:instrText xml:space="preserve"> PAGE  </w:instrText>
                    </w:r>
                    <w:r w:rsidRPr="00684573">
                      <w:rPr>
                        <w:rStyle w:val="Numeropagina"/>
                        <w:rFonts w:ascii="Calibri" w:hAnsi="Calibri" w:cs="Calibri"/>
                        <w:b w:val="0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Style w:val="Numeropagina"/>
                        <w:rFonts w:ascii="Calibri" w:hAnsi="Calibri" w:cs="Calibr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684573">
                      <w:rPr>
                        <w:rStyle w:val="Numeropagina"/>
                        <w:rFonts w:ascii="Calibri" w:hAnsi="Calibri" w:cs="Calibr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684573">
                      <w:rPr>
                        <w:rStyle w:val="Numeropagina"/>
                        <w:rFonts w:ascii="Calibri" w:hAnsi="Calibri" w:cs="Calibri"/>
                        <w:b w:val="0"/>
                        <w:sz w:val="18"/>
                        <w:szCs w:val="18"/>
                      </w:rPr>
                      <w:t xml:space="preserve"> di </w:t>
                    </w:r>
                    <w:r w:rsidRPr="00684573">
                      <w:rPr>
                        <w:rFonts w:ascii="Calibri" w:hAnsi="Calibri"/>
                        <w:sz w:val="18"/>
                        <w:szCs w:val="18"/>
                      </w:rPr>
                      <w:fldChar w:fldCharType="begin"/>
                    </w:r>
                    <w:r w:rsidRPr="00684573">
                      <w:rPr>
                        <w:rFonts w:ascii="Calibri" w:hAnsi="Calibri"/>
                        <w:sz w:val="18"/>
                        <w:szCs w:val="18"/>
                      </w:rPr>
                      <w:instrText xml:space="preserve"> SECTIONPAGES   \* MERGEFORMAT </w:instrText>
                    </w:r>
                    <w:r w:rsidRPr="00684573">
                      <w:rPr>
                        <w:rFonts w:ascii="Calibri" w:hAnsi="Calibri"/>
                        <w:sz w:val="18"/>
                        <w:szCs w:val="18"/>
                      </w:rPr>
                      <w:fldChar w:fldCharType="separate"/>
                    </w:r>
                    <w:r w:rsidR="00510C28">
                      <w:rPr>
                        <w:rFonts w:ascii="Calibri" w:hAnsi="Calibri"/>
                        <w:noProof/>
                        <w:sz w:val="18"/>
                        <w:szCs w:val="18"/>
                      </w:rPr>
                      <w:t>6</w:t>
                    </w:r>
                    <w:r w:rsidRPr="00684573">
                      <w:rPr>
                        <w:rFonts w:ascii="Calibri" w:hAnsi="Calibri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F21E3C">
      <w:rPr>
        <w:rFonts w:ascii="Arial" w:hAnsi="Arial" w:cs="Arial"/>
        <w:sz w:val="16"/>
        <w:szCs w:val="16"/>
      </w:rPr>
      <w:t>Allegato 14 –</w:t>
    </w:r>
    <w:r w:rsidRPr="00F21E3C">
      <w:rPr>
        <w:rFonts w:ascii="Arial" w:hAnsi="Arial" w:cs="Arial"/>
      </w:rPr>
      <w:t xml:space="preserve"> </w:t>
    </w:r>
    <w:r w:rsidRPr="00F21E3C">
      <w:rPr>
        <w:rFonts w:ascii="Arial" w:hAnsi="Arial" w:cs="Arial"/>
        <w:sz w:val="16"/>
        <w:szCs w:val="16"/>
      </w:rPr>
      <w:t xml:space="preserve">Condizioni di assicurazione </w:t>
    </w:r>
  </w:p>
  <w:p w14:paraId="695D971C" w14:textId="7FCE91F1" w:rsidR="00EE458B" w:rsidRPr="00F21E3C" w:rsidRDefault="002A2132" w:rsidP="00F21E3C">
    <w:pPr>
      <w:spacing w:line="240" w:lineRule="auto"/>
      <w:rPr>
        <w:rFonts w:ascii="Arial" w:hAnsi="Arial" w:cs="Arial"/>
        <w:sz w:val="16"/>
        <w:szCs w:val="16"/>
      </w:rPr>
    </w:pPr>
    <w:r w:rsidRPr="00F21E3C">
      <w:rPr>
        <w:rFonts w:ascii="Arial" w:hAnsi="Arial" w:cs="Arial"/>
        <w:sz w:val="16"/>
        <w:szCs w:val="16"/>
      </w:rPr>
      <w:t>Classificazione</w:t>
    </w:r>
    <w:r w:rsidR="00640C46">
      <w:rPr>
        <w:rFonts w:ascii="Arial" w:hAnsi="Arial" w:cs="Arial"/>
        <w:sz w:val="16"/>
        <w:szCs w:val="16"/>
      </w:rPr>
      <w:t xml:space="preserve"> </w:t>
    </w:r>
    <w:r w:rsidRPr="00F21E3C">
      <w:rPr>
        <w:rFonts w:ascii="Arial" w:hAnsi="Arial" w:cs="Arial"/>
        <w:sz w:val="16"/>
        <w:szCs w:val="16"/>
      </w:rPr>
      <w:t>Consip</w:t>
    </w:r>
    <w:r w:rsidR="00640C46">
      <w:rPr>
        <w:rFonts w:ascii="Arial" w:hAnsi="Arial" w:cs="Arial"/>
        <w:sz w:val="16"/>
        <w:szCs w:val="16"/>
      </w:rPr>
      <w:t>:</w:t>
    </w:r>
    <w:r w:rsidRPr="00F21E3C">
      <w:rPr>
        <w:rFonts w:ascii="Arial" w:hAnsi="Arial" w:cs="Arial"/>
        <w:sz w:val="16"/>
        <w:szCs w:val="16"/>
      </w:rPr>
      <w:t xml:space="preserve"> </w:t>
    </w:r>
    <w:bookmarkEnd w:id="0"/>
    <w:bookmarkEnd w:id="1"/>
    <w:r w:rsidR="00730E76">
      <w:rPr>
        <w:rFonts w:ascii="Arial" w:hAnsi="Arial" w:cs="Arial"/>
        <w:sz w:val="16"/>
        <w:szCs w:val="16"/>
      </w:rPr>
      <w:t>Ambito Pubblico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D04B6" w14:textId="77777777" w:rsidR="00030902" w:rsidRDefault="00030902" w:rsidP="007F0195">
      <w:pPr>
        <w:spacing w:line="240" w:lineRule="auto"/>
      </w:pPr>
      <w:r>
        <w:separator/>
      </w:r>
    </w:p>
  </w:footnote>
  <w:footnote w:type="continuationSeparator" w:id="0">
    <w:p w14:paraId="7D3BE86E" w14:textId="77777777" w:rsidR="00030902" w:rsidRDefault="00030902" w:rsidP="007F01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8E15B" w14:textId="3E014D07" w:rsidR="00802C83" w:rsidRDefault="00802C83" w:rsidP="00816101">
    <w:pPr>
      <w:pStyle w:val="Intestazione"/>
    </w:pPr>
  </w:p>
  <w:p w14:paraId="180A157C" w14:textId="65632D97" w:rsidR="007307F1" w:rsidRDefault="007307F1">
    <w:pPr>
      <w:pStyle w:val="TAGTECNICI"/>
    </w:pPr>
  </w:p>
  <w:p w14:paraId="55E6FD14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DDAC5" w14:textId="6134950F" w:rsidR="00802C83" w:rsidRDefault="0002147D" w:rsidP="00EC0421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39475ABC" wp14:editId="69040B00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463912499" name="Immagine 463912499" descr="Immagine che contiene Elementi grafici, Carattere, grafic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24376">
    <w:abstractNumId w:val="2"/>
  </w:num>
  <w:num w:numId="2" w16cid:durableId="920068534">
    <w:abstractNumId w:val="5"/>
  </w:num>
  <w:num w:numId="3" w16cid:durableId="1379670253">
    <w:abstractNumId w:val="2"/>
  </w:num>
  <w:num w:numId="4" w16cid:durableId="1355376820">
    <w:abstractNumId w:val="2"/>
  </w:num>
  <w:num w:numId="5" w16cid:durableId="189103056">
    <w:abstractNumId w:val="0"/>
  </w:num>
  <w:num w:numId="6" w16cid:durableId="1720669437">
    <w:abstractNumId w:val="6"/>
  </w:num>
  <w:num w:numId="7" w16cid:durableId="1580096788">
    <w:abstractNumId w:val="3"/>
  </w:num>
  <w:num w:numId="8" w16cid:durableId="469369200">
    <w:abstractNumId w:val="2"/>
  </w:num>
  <w:num w:numId="9" w16cid:durableId="2075354341">
    <w:abstractNumId w:val="2"/>
  </w:num>
  <w:num w:numId="10" w16cid:durableId="520363083">
    <w:abstractNumId w:val="2"/>
    <w:lvlOverride w:ilvl="0">
      <w:startOverride w:val="1"/>
    </w:lvlOverride>
  </w:num>
  <w:num w:numId="11" w16cid:durableId="939028682">
    <w:abstractNumId w:val="2"/>
  </w:num>
  <w:num w:numId="12" w16cid:durableId="664673015">
    <w:abstractNumId w:val="2"/>
    <w:lvlOverride w:ilvl="0">
      <w:startOverride w:val="1"/>
    </w:lvlOverride>
  </w:num>
  <w:num w:numId="13" w16cid:durableId="973174206">
    <w:abstractNumId w:val="4"/>
  </w:num>
  <w:num w:numId="14" w16cid:durableId="348414413">
    <w:abstractNumId w:val="2"/>
  </w:num>
  <w:num w:numId="15" w16cid:durableId="2061401022">
    <w:abstractNumId w:val="1"/>
  </w:num>
  <w:num w:numId="16" w16cid:durableId="739063602">
    <w:abstractNumId w:val="2"/>
  </w:num>
  <w:num w:numId="17" w16cid:durableId="826943612">
    <w:abstractNumId w:val="2"/>
  </w:num>
  <w:num w:numId="18" w16cid:durableId="135494319">
    <w:abstractNumId w:val="2"/>
  </w:num>
  <w:num w:numId="19" w16cid:durableId="1868790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147D"/>
    <w:rsid w:val="00030902"/>
    <w:rsid w:val="0003115C"/>
    <w:rsid w:val="00044F7D"/>
    <w:rsid w:val="0004584C"/>
    <w:rsid w:val="00047FBB"/>
    <w:rsid w:val="00052674"/>
    <w:rsid w:val="0007477C"/>
    <w:rsid w:val="000752D2"/>
    <w:rsid w:val="000A20B6"/>
    <w:rsid w:val="000B771C"/>
    <w:rsid w:val="00102E5B"/>
    <w:rsid w:val="001105D3"/>
    <w:rsid w:val="00112440"/>
    <w:rsid w:val="00136DCF"/>
    <w:rsid w:val="00150176"/>
    <w:rsid w:val="00164812"/>
    <w:rsid w:val="001B3982"/>
    <w:rsid w:val="002268FE"/>
    <w:rsid w:val="00275985"/>
    <w:rsid w:val="002A2132"/>
    <w:rsid w:val="002A48EB"/>
    <w:rsid w:val="002F2B61"/>
    <w:rsid w:val="003072AF"/>
    <w:rsid w:val="00311F42"/>
    <w:rsid w:val="003405E0"/>
    <w:rsid w:val="00343A17"/>
    <w:rsid w:val="00352CEB"/>
    <w:rsid w:val="00362B4C"/>
    <w:rsid w:val="00381E13"/>
    <w:rsid w:val="003D6D78"/>
    <w:rsid w:val="003E3CC2"/>
    <w:rsid w:val="003F46D1"/>
    <w:rsid w:val="00443DCD"/>
    <w:rsid w:val="00466605"/>
    <w:rsid w:val="00471F57"/>
    <w:rsid w:val="00475ADD"/>
    <w:rsid w:val="00491D3C"/>
    <w:rsid w:val="00495282"/>
    <w:rsid w:val="004B3B48"/>
    <w:rsid w:val="004E3032"/>
    <w:rsid w:val="005018F4"/>
    <w:rsid w:val="00510C28"/>
    <w:rsid w:val="00540EF6"/>
    <w:rsid w:val="005B2EE7"/>
    <w:rsid w:val="005D673F"/>
    <w:rsid w:val="00614942"/>
    <w:rsid w:val="00614B9A"/>
    <w:rsid w:val="00624B6E"/>
    <w:rsid w:val="00640C46"/>
    <w:rsid w:val="006575D7"/>
    <w:rsid w:val="00674EE2"/>
    <w:rsid w:val="00684573"/>
    <w:rsid w:val="006A7731"/>
    <w:rsid w:val="006C06FB"/>
    <w:rsid w:val="006D0B3C"/>
    <w:rsid w:val="006D10B1"/>
    <w:rsid w:val="006F6C92"/>
    <w:rsid w:val="00725CEA"/>
    <w:rsid w:val="007307F1"/>
    <w:rsid w:val="00730E76"/>
    <w:rsid w:val="00734995"/>
    <w:rsid w:val="00735F2A"/>
    <w:rsid w:val="00751BCA"/>
    <w:rsid w:val="00785833"/>
    <w:rsid w:val="0078640B"/>
    <w:rsid w:val="007C214C"/>
    <w:rsid w:val="007F0195"/>
    <w:rsid w:val="007F2475"/>
    <w:rsid w:val="00802C83"/>
    <w:rsid w:val="00827BF3"/>
    <w:rsid w:val="00853A7B"/>
    <w:rsid w:val="008576F9"/>
    <w:rsid w:val="00863FE5"/>
    <w:rsid w:val="008909E6"/>
    <w:rsid w:val="00893118"/>
    <w:rsid w:val="00895E7E"/>
    <w:rsid w:val="008B60C9"/>
    <w:rsid w:val="008B7F03"/>
    <w:rsid w:val="009353ED"/>
    <w:rsid w:val="00942B45"/>
    <w:rsid w:val="00943B9A"/>
    <w:rsid w:val="00953B52"/>
    <w:rsid w:val="00971F8E"/>
    <w:rsid w:val="009D73C2"/>
    <w:rsid w:val="00A309A6"/>
    <w:rsid w:val="00A64B59"/>
    <w:rsid w:val="00AC317B"/>
    <w:rsid w:val="00AC5294"/>
    <w:rsid w:val="00AD0ED7"/>
    <w:rsid w:val="00AF0DC5"/>
    <w:rsid w:val="00AF3113"/>
    <w:rsid w:val="00B0646A"/>
    <w:rsid w:val="00B201E7"/>
    <w:rsid w:val="00B42C95"/>
    <w:rsid w:val="00B84769"/>
    <w:rsid w:val="00BA5766"/>
    <w:rsid w:val="00BD3FF8"/>
    <w:rsid w:val="00C10319"/>
    <w:rsid w:val="00C118DE"/>
    <w:rsid w:val="00C33F4F"/>
    <w:rsid w:val="00C56018"/>
    <w:rsid w:val="00C5636A"/>
    <w:rsid w:val="00C67E77"/>
    <w:rsid w:val="00CA1740"/>
    <w:rsid w:val="00CA6710"/>
    <w:rsid w:val="00CD6DD6"/>
    <w:rsid w:val="00D02B2A"/>
    <w:rsid w:val="00D04449"/>
    <w:rsid w:val="00D30F65"/>
    <w:rsid w:val="00D452D0"/>
    <w:rsid w:val="00DA1B86"/>
    <w:rsid w:val="00E12C92"/>
    <w:rsid w:val="00E3164C"/>
    <w:rsid w:val="00EA305C"/>
    <w:rsid w:val="00EB0D68"/>
    <w:rsid w:val="00EB3DF0"/>
    <w:rsid w:val="00EC0421"/>
    <w:rsid w:val="00EC0E75"/>
    <w:rsid w:val="00EE0C4C"/>
    <w:rsid w:val="00EE458B"/>
    <w:rsid w:val="00EE579D"/>
    <w:rsid w:val="00EF42CC"/>
    <w:rsid w:val="00EF5638"/>
    <w:rsid w:val="00F01CE7"/>
    <w:rsid w:val="00F179B0"/>
    <w:rsid w:val="00F21E3C"/>
    <w:rsid w:val="00FA15BB"/>
    <w:rsid w:val="00FD0CD2"/>
    <w:rsid w:val="00FE4AE9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587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311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essunaspaziatura">
    <w:name w:val="No Spacing"/>
    <w:uiPriority w:val="1"/>
    <w:qFormat/>
    <w:rsid w:val="00684573"/>
    <w:pPr>
      <w:spacing w:after="0" w:line="240" w:lineRule="auto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paragraph" w:customStyle="1" w:styleId="Default">
    <w:name w:val="Default"/>
    <w:rsid w:val="00052674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268FE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9CEA74A511104481320C5C68E5F2E8" ma:contentTypeVersion="3" ma:contentTypeDescription="Creare un nuovo documento." ma:contentTypeScope="" ma:versionID="d3f6505cb85bd06e8f9351346e66eee8">
  <xsd:schema xmlns:xsd="http://www.w3.org/2001/XMLSchema" xmlns:xs="http://www.w3.org/2001/XMLSchema" xmlns:p="http://schemas.microsoft.com/office/2006/metadata/properties" xmlns:ns2="93cd5faf-1904-4bbd-8598-f213a7daec58" targetNamespace="http://schemas.microsoft.com/office/2006/metadata/properties" ma:root="true" ma:fieldsID="e5d785a468a3b5c510423d53b0a8e5ec" ns2:_="">
    <xsd:import namespace="93cd5faf-1904-4bbd-8598-f213a7dae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d5faf-1904-4bbd-8598-f213a7dae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7CEDDC-C830-4517-BF00-63EF56B32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d5faf-1904-4bbd-8598-f213a7dae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F84C50-7E8F-4264-8C8D-B8B69354CD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755DE3-8993-49E0-8496-23B717BF9C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957128-DD71-4790-8D8F-73635BAF65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1102</Words>
  <Characters>6670</Characters>
  <Application>Microsoft Office Word</Application>
  <DocSecurity>0</DocSecurity>
  <Lines>162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2025-12-18T10:39:00Z</dcterms:created>
  <dcterms:modified xsi:type="dcterms:W3CDTF">2025-12-19T15:40:00Z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0x010100049CEA74A511104481320C5C68E5F2E8</vt:lpwstr>
  </property>
  <property fmtid="{D5CDD505-2E9C-101B-9397-08002B2CF9AE}" pid="3" name="docLang">
    <vt:lpwstr>it</vt:lpwstr>
  </property>
</Properties>
</file>